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7A9E" w:rsidRDefault="00C97A9E" w:rsidP="00C97A9E">
      <w:pPr>
        <w:rPr>
          <w:lang w:val="en"/>
        </w:rPr>
      </w:pPr>
      <w:r w:rsidRPr="00C97A9E">
        <w:rPr>
          <w:b/>
          <w:lang w:val="en"/>
        </w:rPr>
        <w:t>Construction Products Regulations</w:t>
      </w:r>
      <w:r w:rsidRPr="00C97A9E">
        <w:rPr>
          <w:b/>
          <w:lang w:val="en"/>
        </w:rPr>
        <w:br/>
      </w:r>
      <w:r>
        <w:rPr>
          <w:lang w:val="en"/>
        </w:rPr>
        <w:t>On 1st July 2013, the Construction Products Regulations (CPR) introduced major changes to the UK construction product market, including requirements for CE Marking and Manufacturers Declaration of Performance.</w:t>
      </w:r>
      <w:r>
        <w:rPr>
          <w:lang w:val="en"/>
        </w:rPr>
        <w:br/>
      </w:r>
    </w:p>
    <w:p w:rsidR="00D470AD" w:rsidRPr="00C97A9E" w:rsidRDefault="00C97A9E" w:rsidP="00C97A9E">
      <w:r>
        <w:rPr>
          <w:lang w:val="en"/>
        </w:rPr>
        <w:t xml:space="preserve">The CPR repeals and replaces the Construction Products Directive (CPD), moving from a voluntary Directive to compulsory Regulations. The CPD/CPR </w:t>
      </w:r>
      <w:proofErr w:type="gramStart"/>
      <w:r>
        <w:rPr>
          <w:lang w:val="en"/>
        </w:rPr>
        <w:t>were</w:t>
      </w:r>
      <w:proofErr w:type="gramEnd"/>
      <w:r>
        <w:rPr>
          <w:lang w:val="en"/>
        </w:rPr>
        <w:t xml:space="preserve"> introduced to break down technical barriers to trade for construction products between the member states of the European Economic Area. To facilitate this, a pan European system of </w:t>
      </w:r>
      <w:proofErr w:type="spellStart"/>
      <w:r>
        <w:rPr>
          <w:lang w:val="en"/>
        </w:rPr>
        <w:t>Harmonised</w:t>
      </w:r>
      <w:proofErr w:type="spellEnd"/>
      <w:r>
        <w:rPr>
          <w:lang w:val="en"/>
        </w:rPr>
        <w:t xml:space="preserve"> European Standards (hEN) – sometimes referred to as European Standards or European Norms - were commissioned to set benchmark specifications for individual product types. Examples of these include the EN </w:t>
      </w:r>
      <w:proofErr w:type="spellStart"/>
      <w:r>
        <w:rPr>
          <w:lang w:val="en"/>
        </w:rPr>
        <w:t>131xx</w:t>
      </w:r>
      <w:proofErr w:type="spellEnd"/>
      <w:r>
        <w:rPr>
          <w:lang w:val="en"/>
        </w:rPr>
        <w:t xml:space="preserve"> package of standards for general building insulation and the EN </w:t>
      </w:r>
      <w:proofErr w:type="spellStart"/>
      <w:r>
        <w:rPr>
          <w:lang w:val="en"/>
        </w:rPr>
        <w:t>143xx</w:t>
      </w:r>
      <w:proofErr w:type="spellEnd"/>
      <w:r>
        <w:rPr>
          <w:lang w:val="en"/>
        </w:rPr>
        <w:t xml:space="preserve"> package for insulation in Building Services applications.</w:t>
      </w:r>
      <w:r>
        <w:rPr>
          <w:lang w:val="en"/>
        </w:rPr>
        <w:br/>
      </w:r>
      <w:r>
        <w:rPr>
          <w:lang w:val="en"/>
        </w:rPr>
        <w:br/>
      </w:r>
      <w:r w:rsidRPr="00C97A9E">
        <w:rPr>
          <w:b/>
          <w:lang w:val="en"/>
        </w:rPr>
        <w:t>Declaration of Performance (DoP) and CE Marking</w:t>
      </w:r>
      <w:r w:rsidRPr="00C97A9E">
        <w:rPr>
          <w:b/>
          <w:lang w:val="en"/>
        </w:rPr>
        <w:br/>
      </w:r>
      <w:r>
        <w:rPr>
          <w:lang w:val="en"/>
        </w:rPr>
        <w:t>The manufacturer of a construction product placed on the European market and covered by a hEN or European Technical Assessment (ETA) is required by the CPR to draw up a Declaration of Performance (DoP). The aim is to ensure that the manufacturer takes responsibility for the conformity of the product to the hEN or ETA. CE Marking verifies that the manufacturer has strictly followed all the applicable procedures for drawing up the DoP and that the DoP is accurate and reliable.</w:t>
      </w:r>
      <w:r>
        <w:rPr>
          <w:lang w:val="en"/>
        </w:rPr>
        <w:br/>
        <w:t xml:space="preserve">Central to the CPR is testing of products as placed on the market, including mandatory fire testing under the </w:t>
      </w:r>
      <w:proofErr w:type="spellStart"/>
      <w:r>
        <w:rPr>
          <w:lang w:val="en"/>
        </w:rPr>
        <w:t>Euroclass</w:t>
      </w:r>
      <w:proofErr w:type="spellEnd"/>
      <w:r>
        <w:rPr>
          <w:lang w:val="en"/>
        </w:rPr>
        <w:t xml:space="preserve"> system to EN 13501-1. Insulation types commonly used in the UK construction market are already covered by hENs and so have to be CE Marked from July 2013 onwards.</w:t>
      </w:r>
    </w:p>
    <w:sectPr w:rsidR="00D470AD" w:rsidRPr="00C97A9E" w:rsidSect="007C26D2">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56C6" w:rsidRDefault="006D56C6" w:rsidP="006D56C6">
      <w:pPr>
        <w:spacing w:line="240" w:lineRule="auto"/>
      </w:pPr>
      <w:r>
        <w:separator/>
      </w:r>
    </w:p>
  </w:endnote>
  <w:endnote w:type="continuationSeparator" w:id="0">
    <w:p w:rsidR="006D56C6" w:rsidRDefault="006D56C6" w:rsidP="006D56C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56C6" w:rsidRDefault="006D56C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okmarkStart w:id="0" w:name="_GoBack"/>
  <w:p w:rsidR="006D56C6" w:rsidRPr="006D56C6" w:rsidRDefault="006D56C6" w:rsidP="006D56C6">
    <w:pPr>
      <w:pStyle w:val="Footer"/>
      <w:jc w:val="right"/>
      <w:rPr>
        <w:sz w:val="16"/>
        <w:szCs w:val="16"/>
      </w:rPr>
    </w:pPr>
    <w:r w:rsidRPr="006D56C6">
      <w:rPr>
        <w:sz w:val="16"/>
        <w:szCs w:val="16"/>
      </w:rPr>
      <w:fldChar w:fldCharType="begin"/>
    </w:r>
    <w:r w:rsidRPr="006D56C6">
      <w:rPr>
        <w:sz w:val="16"/>
        <w:szCs w:val="16"/>
      </w:rPr>
      <w:instrText xml:space="preserve"> FILENAME  \* Lower \p  \* MERGEFORMAT </w:instrText>
    </w:r>
    <w:r w:rsidRPr="006D56C6">
      <w:rPr>
        <w:sz w:val="16"/>
        <w:szCs w:val="16"/>
      </w:rPr>
      <w:fldChar w:fldCharType="separate"/>
    </w:r>
    <w:r w:rsidRPr="006D56C6">
      <w:rPr>
        <w:noProof/>
        <w:sz w:val="16"/>
        <w:szCs w:val="16"/>
      </w:rPr>
      <w:t>s:\timsa\technical\cpd - ce marking\cpr article.docx</w:t>
    </w:r>
    <w:r w:rsidRPr="006D56C6">
      <w:rPr>
        <w:sz w:val="16"/>
        <w:szCs w:val="16"/>
      </w:rPr>
      <w:fldChar w:fldCharType="end"/>
    </w:r>
    <w:bookmarkEnd w:id="0"/>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56C6" w:rsidRDefault="006D56C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56C6" w:rsidRDefault="006D56C6" w:rsidP="006D56C6">
      <w:pPr>
        <w:spacing w:line="240" w:lineRule="auto"/>
      </w:pPr>
      <w:r>
        <w:separator/>
      </w:r>
    </w:p>
  </w:footnote>
  <w:footnote w:type="continuationSeparator" w:id="0">
    <w:p w:rsidR="006D56C6" w:rsidRDefault="006D56C6" w:rsidP="006D56C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56C6" w:rsidRDefault="006D56C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56C6" w:rsidRDefault="006D56C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56C6" w:rsidRDefault="006D56C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8AC30CF"/>
    <w:multiLevelType w:val="multilevel"/>
    <w:tmpl w:val="7C8A3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199F"/>
    <w:rsid w:val="00655ED4"/>
    <w:rsid w:val="006D56C6"/>
    <w:rsid w:val="007C26D2"/>
    <w:rsid w:val="00C97A9E"/>
    <w:rsid w:val="00D470AD"/>
    <w:rsid w:val="00D619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theme="minorBidi"/>
        <w:szCs w:val="22"/>
        <w:lang w:val="en-GB"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56C6"/>
    <w:pPr>
      <w:tabs>
        <w:tab w:val="center" w:pos="4513"/>
        <w:tab w:val="right" w:pos="9026"/>
      </w:tabs>
      <w:spacing w:line="240" w:lineRule="auto"/>
    </w:pPr>
  </w:style>
  <w:style w:type="character" w:customStyle="1" w:styleId="HeaderChar">
    <w:name w:val="Header Char"/>
    <w:basedOn w:val="DefaultParagraphFont"/>
    <w:link w:val="Header"/>
    <w:uiPriority w:val="99"/>
    <w:rsid w:val="006D56C6"/>
  </w:style>
  <w:style w:type="paragraph" w:styleId="Footer">
    <w:name w:val="footer"/>
    <w:basedOn w:val="Normal"/>
    <w:link w:val="FooterChar"/>
    <w:uiPriority w:val="99"/>
    <w:unhideWhenUsed/>
    <w:rsid w:val="006D56C6"/>
    <w:pPr>
      <w:tabs>
        <w:tab w:val="center" w:pos="4513"/>
        <w:tab w:val="right" w:pos="9026"/>
      </w:tabs>
      <w:spacing w:line="240" w:lineRule="auto"/>
    </w:pPr>
  </w:style>
  <w:style w:type="character" w:customStyle="1" w:styleId="FooterChar">
    <w:name w:val="Footer Char"/>
    <w:basedOn w:val="DefaultParagraphFont"/>
    <w:link w:val="Footer"/>
    <w:uiPriority w:val="99"/>
    <w:rsid w:val="006D56C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theme="minorBidi"/>
        <w:szCs w:val="22"/>
        <w:lang w:val="en-GB"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56C6"/>
    <w:pPr>
      <w:tabs>
        <w:tab w:val="center" w:pos="4513"/>
        <w:tab w:val="right" w:pos="9026"/>
      </w:tabs>
      <w:spacing w:line="240" w:lineRule="auto"/>
    </w:pPr>
  </w:style>
  <w:style w:type="character" w:customStyle="1" w:styleId="HeaderChar">
    <w:name w:val="Header Char"/>
    <w:basedOn w:val="DefaultParagraphFont"/>
    <w:link w:val="Header"/>
    <w:uiPriority w:val="99"/>
    <w:rsid w:val="006D56C6"/>
  </w:style>
  <w:style w:type="paragraph" w:styleId="Footer">
    <w:name w:val="footer"/>
    <w:basedOn w:val="Normal"/>
    <w:link w:val="FooterChar"/>
    <w:uiPriority w:val="99"/>
    <w:unhideWhenUsed/>
    <w:rsid w:val="006D56C6"/>
    <w:pPr>
      <w:tabs>
        <w:tab w:val="center" w:pos="4513"/>
        <w:tab w:val="right" w:pos="9026"/>
      </w:tabs>
      <w:spacing w:line="240" w:lineRule="auto"/>
    </w:pPr>
  </w:style>
  <w:style w:type="character" w:customStyle="1" w:styleId="FooterChar">
    <w:name w:val="Footer Char"/>
    <w:basedOn w:val="DefaultParagraphFont"/>
    <w:link w:val="Footer"/>
    <w:uiPriority w:val="99"/>
    <w:rsid w:val="006D56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8385134">
      <w:bodyDiv w:val="1"/>
      <w:marLeft w:val="0"/>
      <w:marRight w:val="0"/>
      <w:marTop w:val="0"/>
      <w:marBottom w:val="0"/>
      <w:divBdr>
        <w:top w:val="none" w:sz="0" w:space="0" w:color="auto"/>
        <w:left w:val="none" w:sz="0" w:space="0" w:color="auto"/>
        <w:bottom w:val="none" w:sz="0" w:space="0" w:color="auto"/>
        <w:right w:val="none" w:sz="0" w:space="0" w:color="auto"/>
      </w:divBdr>
      <w:divsChild>
        <w:div w:id="607126999">
          <w:marLeft w:val="0"/>
          <w:marRight w:val="0"/>
          <w:marTop w:val="0"/>
          <w:marBottom w:val="0"/>
          <w:divBdr>
            <w:top w:val="none" w:sz="0" w:space="0" w:color="auto"/>
            <w:left w:val="none" w:sz="0" w:space="0" w:color="auto"/>
            <w:bottom w:val="none" w:sz="0" w:space="0" w:color="auto"/>
            <w:right w:val="none" w:sz="0" w:space="0" w:color="auto"/>
          </w:divBdr>
          <w:divsChild>
            <w:div w:id="1462725594">
              <w:marLeft w:val="0"/>
              <w:marRight w:val="0"/>
              <w:marTop w:val="0"/>
              <w:marBottom w:val="0"/>
              <w:divBdr>
                <w:top w:val="none" w:sz="0" w:space="0" w:color="auto"/>
                <w:left w:val="none" w:sz="0" w:space="0" w:color="auto"/>
                <w:bottom w:val="none" w:sz="0" w:space="0" w:color="auto"/>
                <w:right w:val="none" w:sz="0" w:space="0" w:color="auto"/>
              </w:divBdr>
              <w:divsChild>
                <w:div w:id="77488143">
                  <w:marLeft w:val="0"/>
                  <w:marRight w:val="0"/>
                  <w:marTop w:val="0"/>
                  <w:marBottom w:val="0"/>
                  <w:divBdr>
                    <w:top w:val="none" w:sz="0" w:space="0" w:color="auto"/>
                    <w:left w:val="none" w:sz="0" w:space="0" w:color="auto"/>
                    <w:bottom w:val="none" w:sz="0" w:space="0" w:color="auto"/>
                    <w:right w:val="none" w:sz="0" w:space="0" w:color="auto"/>
                  </w:divBdr>
                  <w:divsChild>
                    <w:div w:id="586810011">
                      <w:marLeft w:val="0"/>
                      <w:marRight w:val="0"/>
                      <w:marTop w:val="0"/>
                      <w:marBottom w:val="0"/>
                      <w:divBdr>
                        <w:top w:val="none" w:sz="0" w:space="0" w:color="auto"/>
                        <w:left w:val="none" w:sz="0" w:space="0" w:color="auto"/>
                        <w:bottom w:val="none" w:sz="0" w:space="0" w:color="auto"/>
                        <w:right w:val="none" w:sz="0" w:space="0" w:color="auto"/>
                      </w:divBdr>
                      <w:divsChild>
                        <w:div w:id="256138661">
                          <w:marLeft w:val="0"/>
                          <w:marRight w:val="0"/>
                          <w:marTop w:val="0"/>
                          <w:marBottom w:val="0"/>
                          <w:divBdr>
                            <w:top w:val="none" w:sz="0" w:space="0" w:color="auto"/>
                            <w:left w:val="none" w:sz="0" w:space="0" w:color="auto"/>
                            <w:bottom w:val="none" w:sz="0" w:space="0" w:color="auto"/>
                            <w:right w:val="none" w:sz="0" w:space="0" w:color="auto"/>
                          </w:divBdr>
                          <w:divsChild>
                            <w:div w:id="2020038916">
                              <w:marLeft w:val="0"/>
                              <w:marRight w:val="0"/>
                              <w:marTop w:val="0"/>
                              <w:marBottom w:val="0"/>
                              <w:divBdr>
                                <w:top w:val="none" w:sz="0" w:space="0" w:color="auto"/>
                                <w:left w:val="none" w:sz="0" w:space="0" w:color="auto"/>
                                <w:bottom w:val="none" w:sz="0" w:space="0" w:color="auto"/>
                                <w:right w:val="none" w:sz="0" w:space="0" w:color="auto"/>
                              </w:divBdr>
                              <w:divsChild>
                                <w:div w:id="493952532">
                                  <w:marLeft w:val="0"/>
                                  <w:marRight w:val="0"/>
                                  <w:marTop w:val="0"/>
                                  <w:marBottom w:val="0"/>
                                  <w:divBdr>
                                    <w:top w:val="none" w:sz="0" w:space="0" w:color="auto"/>
                                    <w:left w:val="none" w:sz="0" w:space="0" w:color="auto"/>
                                    <w:bottom w:val="none" w:sz="0" w:space="0" w:color="auto"/>
                                    <w:right w:val="none" w:sz="0" w:space="0" w:color="auto"/>
                                  </w:divBdr>
                                  <w:divsChild>
                                    <w:div w:id="1582521274">
                                      <w:marLeft w:val="0"/>
                                      <w:marRight w:val="0"/>
                                      <w:marTop w:val="0"/>
                                      <w:marBottom w:val="0"/>
                                      <w:divBdr>
                                        <w:top w:val="none" w:sz="0" w:space="0" w:color="auto"/>
                                        <w:left w:val="none" w:sz="0" w:space="0" w:color="auto"/>
                                        <w:bottom w:val="none" w:sz="0" w:space="0" w:color="auto"/>
                                        <w:right w:val="none" w:sz="0" w:space="0" w:color="auto"/>
                                      </w:divBdr>
                                      <w:divsChild>
                                        <w:div w:id="339043814">
                                          <w:marLeft w:val="0"/>
                                          <w:marRight w:val="0"/>
                                          <w:marTop w:val="0"/>
                                          <w:marBottom w:val="0"/>
                                          <w:divBdr>
                                            <w:top w:val="none" w:sz="0" w:space="0" w:color="auto"/>
                                            <w:left w:val="none" w:sz="0" w:space="0" w:color="auto"/>
                                            <w:bottom w:val="none" w:sz="0" w:space="0" w:color="auto"/>
                                            <w:right w:val="none" w:sz="0" w:space="0" w:color="auto"/>
                                          </w:divBdr>
                                          <w:divsChild>
                                            <w:div w:id="1731223693">
                                              <w:marLeft w:val="0"/>
                                              <w:marRight w:val="0"/>
                                              <w:marTop w:val="0"/>
                                              <w:marBottom w:val="0"/>
                                              <w:divBdr>
                                                <w:top w:val="none" w:sz="0" w:space="0" w:color="auto"/>
                                                <w:left w:val="none" w:sz="0" w:space="0" w:color="auto"/>
                                                <w:bottom w:val="none" w:sz="0" w:space="0" w:color="auto"/>
                                                <w:right w:val="none" w:sz="0" w:space="0" w:color="auto"/>
                                              </w:divBdr>
                                              <w:divsChild>
                                                <w:div w:id="1278174421">
                                                  <w:marLeft w:val="0"/>
                                                  <w:marRight w:val="0"/>
                                                  <w:marTop w:val="0"/>
                                                  <w:marBottom w:val="0"/>
                                                  <w:divBdr>
                                                    <w:top w:val="none" w:sz="0" w:space="0" w:color="auto"/>
                                                    <w:left w:val="none" w:sz="0" w:space="0" w:color="auto"/>
                                                    <w:bottom w:val="none" w:sz="0" w:space="0" w:color="auto"/>
                                                    <w:right w:val="none" w:sz="0" w:space="0" w:color="auto"/>
                                                  </w:divBdr>
                                                  <w:divsChild>
                                                    <w:div w:id="1193374840">
                                                      <w:marLeft w:val="0"/>
                                                      <w:marRight w:val="0"/>
                                                      <w:marTop w:val="0"/>
                                                      <w:marBottom w:val="0"/>
                                                      <w:divBdr>
                                                        <w:top w:val="none" w:sz="0" w:space="0" w:color="auto"/>
                                                        <w:left w:val="none" w:sz="0" w:space="0" w:color="auto"/>
                                                        <w:bottom w:val="none" w:sz="0" w:space="0" w:color="auto"/>
                                                        <w:right w:val="none" w:sz="0" w:space="0" w:color="auto"/>
                                                      </w:divBdr>
                                                      <w:divsChild>
                                                        <w:div w:id="2090420451">
                                                          <w:marLeft w:val="0"/>
                                                          <w:marRight w:val="0"/>
                                                          <w:marTop w:val="0"/>
                                                          <w:marBottom w:val="0"/>
                                                          <w:divBdr>
                                                            <w:top w:val="none" w:sz="0" w:space="0" w:color="auto"/>
                                                            <w:left w:val="single" w:sz="36" w:space="4" w:color="FFFFFF"/>
                                                            <w:bottom w:val="none" w:sz="0" w:space="0" w:color="auto"/>
                                                            <w:right w:val="none" w:sz="0" w:space="0" w:color="auto"/>
                                                          </w:divBdr>
                                                          <w:divsChild>
                                                            <w:div w:id="1517889683">
                                                              <w:marLeft w:val="0"/>
                                                              <w:marRight w:val="0"/>
                                                              <w:marTop w:val="0"/>
                                                              <w:marBottom w:val="75"/>
                                                              <w:divBdr>
                                                                <w:top w:val="none" w:sz="0" w:space="0" w:color="auto"/>
                                                                <w:left w:val="none" w:sz="0" w:space="0" w:color="auto"/>
                                                                <w:bottom w:val="none" w:sz="0" w:space="0" w:color="auto"/>
                                                                <w:right w:val="none" w:sz="0" w:space="0" w:color="auto"/>
                                                              </w:divBdr>
                                                            </w:div>
                                                            <w:div w:id="487746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259</Words>
  <Characters>1478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Fairley</dc:creator>
  <cp:lastModifiedBy>John Fairley</cp:lastModifiedBy>
  <cp:revision>3</cp:revision>
  <dcterms:created xsi:type="dcterms:W3CDTF">2013-08-07T15:26:00Z</dcterms:created>
  <dcterms:modified xsi:type="dcterms:W3CDTF">2013-08-07T15:27:00Z</dcterms:modified>
</cp:coreProperties>
</file>